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A7" w:rsidRDefault="00090DA7" w:rsidP="00571C61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71C61" w:rsidRPr="00206B51" w:rsidRDefault="00571C61" w:rsidP="00571C61">
      <w:pPr>
        <w:pStyle w:val="a3"/>
        <w:ind w:left="0" w:firstLine="709"/>
        <w:jc w:val="center"/>
        <w:rPr>
          <w:sz w:val="28"/>
          <w:szCs w:val="28"/>
        </w:rPr>
      </w:pPr>
      <w:r w:rsidRPr="00C55DB6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многоквартирных домах по адресу: </w:t>
      </w:r>
      <w:proofErr w:type="spellStart"/>
      <w:r w:rsidRPr="00C55DB6">
        <w:rPr>
          <w:rFonts w:cs="Calibri"/>
          <w:sz w:val="28"/>
          <w:szCs w:val="28"/>
        </w:rPr>
        <w:t>пст</w:t>
      </w:r>
      <w:proofErr w:type="spellEnd"/>
      <w:r w:rsidRPr="00C55DB6">
        <w:rPr>
          <w:rFonts w:cs="Calibri"/>
          <w:sz w:val="28"/>
          <w:szCs w:val="28"/>
        </w:rPr>
        <w:t>. Новый Бор, ул. Заполярная, д. 1, ул. Заполярн</w:t>
      </w:r>
      <w:r>
        <w:rPr>
          <w:rFonts w:cs="Calibri"/>
          <w:sz w:val="28"/>
          <w:szCs w:val="28"/>
        </w:rPr>
        <w:t xml:space="preserve">ая, д. 2, ул. Заполярная, д. 3, </w:t>
      </w:r>
      <w:r w:rsidRPr="00C55DB6">
        <w:rPr>
          <w:rFonts w:cs="Calibri"/>
          <w:sz w:val="28"/>
          <w:szCs w:val="28"/>
        </w:rPr>
        <w:t xml:space="preserve">ул. Заполярная, д. 4, ул. Заполярная, </w:t>
      </w:r>
      <w:r>
        <w:rPr>
          <w:rFonts w:cs="Calibri"/>
          <w:sz w:val="28"/>
          <w:szCs w:val="28"/>
        </w:rPr>
        <w:t>д. 5, ул. Заполярная, д. 6, ул. </w:t>
      </w:r>
      <w:r w:rsidRPr="00C55DB6">
        <w:rPr>
          <w:rFonts w:cs="Calibri"/>
          <w:sz w:val="28"/>
          <w:szCs w:val="28"/>
        </w:rPr>
        <w:t>Нагорная, д. 5, ул. Нагорная, д. 13, Торговый переулок, д. 3, Торговый переулок, д. 5, ул. Центральная, д. 9, ул. Центральная,</w:t>
      </w:r>
      <w:r>
        <w:rPr>
          <w:rFonts w:cs="Calibri"/>
          <w:sz w:val="28"/>
          <w:szCs w:val="28"/>
        </w:rPr>
        <w:t xml:space="preserve"> д. 13, ул. Центральная, д. 21, </w:t>
      </w:r>
      <w:r w:rsidRPr="00C55DB6">
        <w:rPr>
          <w:rFonts w:cs="Calibri"/>
          <w:sz w:val="28"/>
          <w:szCs w:val="28"/>
        </w:rPr>
        <w:t>ул. Черепанова, д. 23, ул.</w:t>
      </w:r>
      <w:r>
        <w:rPr>
          <w:rFonts w:cs="Calibri"/>
          <w:sz w:val="28"/>
          <w:szCs w:val="28"/>
        </w:rPr>
        <w:t xml:space="preserve"> Черепанова, д. 28, ул. </w:t>
      </w:r>
      <w:r w:rsidRPr="00C55DB6">
        <w:rPr>
          <w:rFonts w:cs="Calibri"/>
          <w:sz w:val="28"/>
          <w:szCs w:val="28"/>
        </w:rPr>
        <w:t>Черепанова, д. 30, ул. Черепанова, д. 32</w:t>
      </w:r>
    </w:p>
    <w:p w:rsidR="00571C61" w:rsidRPr="009720CB" w:rsidRDefault="00571C61" w:rsidP="00571C61">
      <w:pPr>
        <w:pStyle w:val="a3"/>
        <w:ind w:left="426"/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4253"/>
        <w:gridCol w:w="28"/>
        <w:gridCol w:w="2098"/>
        <w:gridCol w:w="29"/>
        <w:gridCol w:w="2120"/>
      </w:tblGrid>
      <w:tr w:rsidR="00571C61" w:rsidRPr="00B42446" w:rsidTr="00DD35F2">
        <w:trPr>
          <w:trHeight w:val="1550"/>
        </w:trPr>
        <w:tc>
          <w:tcPr>
            <w:tcW w:w="817" w:type="dxa"/>
            <w:gridSpan w:val="2"/>
            <w:vAlign w:val="center"/>
            <w:hideMark/>
          </w:tcPr>
          <w:p w:rsidR="00571C61" w:rsidRPr="0040117F" w:rsidRDefault="00571C61" w:rsidP="00DD35F2">
            <w:pPr>
              <w:rPr>
                <w:sz w:val="24"/>
              </w:rPr>
            </w:pPr>
            <w:r w:rsidRPr="0040117F">
              <w:rPr>
                <w:sz w:val="24"/>
              </w:rPr>
              <w:t>№</w:t>
            </w:r>
          </w:p>
        </w:tc>
        <w:tc>
          <w:tcPr>
            <w:tcW w:w="4253" w:type="dxa"/>
            <w:vAlign w:val="center"/>
            <w:hideMark/>
          </w:tcPr>
          <w:p w:rsidR="00571C61" w:rsidRPr="0040117F" w:rsidRDefault="00571C61" w:rsidP="00DD35F2">
            <w:pPr>
              <w:ind w:firstLine="567"/>
              <w:jc w:val="center"/>
              <w:rPr>
                <w:sz w:val="24"/>
              </w:rPr>
            </w:pPr>
            <w:r w:rsidRPr="0040117F">
              <w:rPr>
                <w:sz w:val="24"/>
              </w:rPr>
              <w:t>Наименование работ и услуг*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571C61" w:rsidRPr="0040117F" w:rsidRDefault="00571C61" w:rsidP="00DD35F2">
            <w:pPr>
              <w:ind w:firstLine="567"/>
              <w:jc w:val="center"/>
              <w:rPr>
                <w:sz w:val="24"/>
              </w:rPr>
            </w:pPr>
            <w:r w:rsidRPr="0040117F">
              <w:rPr>
                <w:sz w:val="24"/>
              </w:rPr>
              <w:t>Периодичность выполнения работ и оказания услуг или объем работ в год</w:t>
            </w:r>
          </w:p>
        </w:tc>
        <w:tc>
          <w:tcPr>
            <w:tcW w:w="2149" w:type="dxa"/>
            <w:gridSpan w:val="2"/>
            <w:vAlign w:val="center"/>
            <w:hideMark/>
          </w:tcPr>
          <w:p w:rsidR="00571C61" w:rsidRPr="0040117F" w:rsidRDefault="00571C61" w:rsidP="00DD35F2">
            <w:pPr>
              <w:ind w:firstLine="567"/>
              <w:jc w:val="center"/>
              <w:rPr>
                <w:sz w:val="24"/>
              </w:rPr>
            </w:pPr>
            <w:r w:rsidRPr="0040117F">
              <w:rPr>
                <w:sz w:val="24"/>
              </w:rPr>
              <w:t>Стоимость на</w:t>
            </w:r>
          </w:p>
          <w:p w:rsidR="00571C61" w:rsidRPr="0040117F" w:rsidRDefault="00571C61" w:rsidP="00DD35F2">
            <w:pPr>
              <w:ind w:firstLine="567"/>
              <w:jc w:val="center"/>
              <w:rPr>
                <w:sz w:val="24"/>
              </w:rPr>
            </w:pPr>
            <w:r w:rsidRPr="0040117F">
              <w:rPr>
                <w:sz w:val="24"/>
              </w:rPr>
              <w:t>1 кв. метр общей площади (рублей в месяц)</w:t>
            </w:r>
          </w:p>
        </w:tc>
      </w:tr>
      <w:tr w:rsidR="00571C61" w:rsidRPr="00B42446" w:rsidTr="00DD35F2">
        <w:trPr>
          <w:trHeight w:val="1435"/>
        </w:trPr>
        <w:tc>
          <w:tcPr>
            <w:tcW w:w="9345" w:type="dxa"/>
            <w:gridSpan w:val="7"/>
            <w:vAlign w:val="center"/>
            <w:hideMark/>
          </w:tcPr>
          <w:p w:rsidR="00571C61" w:rsidRPr="0040117F" w:rsidRDefault="00571C61" w:rsidP="00DD35F2">
            <w:pPr>
              <w:jc w:val="center"/>
              <w:rPr>
                <w:sz w:val="24"/>
              </w:rPr>
            </w:pPr>
            <w:r w:rsidRPr="0040117F">
              <w:rPr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Проверка состояния дверных и оконных заполнений помещений, относящихся к общему имуществу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2160D8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2160D8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Проверка состояния деревянных стен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2</w:t>
            </w:r>
            <w:r w:rsidRPr="0040117F">
              <w:rPr>
                <w:sz w:val="28"/>
              </w:rPr>
              <w:t xml:space="preserve"> </w:t>
            </w:r>
            <w:r w:rsidRPr="0040117F">
              <w:rPr>
                <w:color w:val="000000"/>
                <w:sz w:val="24"/>
                <w:szCs w:val="24"/>
              </w:rPr>
              <w:t>раза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2160D8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2160D8">
              <w:rPr>
                <w:color w:val="000000"/>
                <w:sz w:val="24"/>
                <w:szCs w:val="24"/>
              </w:rPr>
              <w:t>1,232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Проверка наличия и состояния деревянных перекрытий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2</w:t>
            </w:r>
            <w:r w:rsidRPr="0040117F">
              <w:rPr>
                <w:sz w:val="28"/>
              </w:rPr>
              <w:t xml:space="preserve"> </w:t>
            </w:r>
            <w:r w:rsidRPr="0040117F">
              <w:rPr>
                <w:color w:val="000000"/>
                <w:sz w:val="24"/>
                <w:szCs w:val="24"/>
              </w:rPr>
              <w:t>раза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2160D8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2160D8">
              <w:rPr>
                <w:color w:val="000000"/>
                <w:sz w:val="24"/>
                <w:szCs w:val="24"/>
              </w:rPr>
              <w:t>0,320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Технический осмотр кровли из штучного материала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2</w:t>
            </w:r>
            <w:r w:rsidRPr="0040117F">
              <w:rPr>
                <w:sz w:val="28"/>
              </w:rPr>
              <w:t xml:space="preserve"> </w:t>
            </w:r>
            <w:r w:rsidRPr="0040117F">
              <w:rPr>
                <w:color w:val="000000"/>
                <w:sz w:val="24"/>
                <w:szCs w:val="24"/>
              </w:rPr>
              <w:t>раза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1C2B4D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C2B4D">
              <w:rPr>
                <w:color w:val="000000"/>
                <w:sz w:val="24"/>
                <w:szCs w:val="24"/>
              </w:rPr>
              <w:t>0,204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1C2B4D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C2B4D">
              <w:rPr>
                <w:color w:val="000000"/>
                <w:sz w:val="24"/>
                <w:szCs w:val="24"/>
              </w:rPr>
              <w:t>6,022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Укрепление стропильных ног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1C2B4D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C2B4D">
              <w:rPr>
                <w:color w:val="000000"/>
                <w:sz w:val="24"/>
                <w:szCs w:val="24"/>
              </w:rPr>
              <w:t>0,042</w:t>
            </w:r>
          </w:p>
        </w:tc>
      </w:tr>
      <w:tr w:rsidR="00C007FB" w:rsidRPr="00B42446" w:rsidTr="00DD35F2">
        <w:tc>
          <w:tcPr>
            <w:tcW w:w="704" w:type="dxa"/>
            <w:vAlign w:val="center"/>
          </w:tcPr>
          <w:p w:rsidR="00C007FB" w:rsidRPr="0040117F" w:rsidRDefault="00C007FB" w:rsidP="00C007FB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FB" w:rsidRPr="0040117F" w:rsidRDefault="00C007FB" w:rsidP="00C007FB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FB" w:rsidRPr="0040117F" w:rsidRDefault="00C007FB" w:rsidP="00C007FB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3 раза за сезон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FB" w:rsidRPr="00C007FB" w:rsidRDefault="00C007FB" w:rsidP="00C007FB">
            <w:pPr>
              <w:jc w:val="center"/>
              <w:rPr>
                <w:color w:val="000000"/>
                <w:sz w:val="24"/>
                <w:szCs w:val="24"/>
              </w:rPr>
            </w:pPr>
            <w:r w:rsidRPr="00C007FB">
              <w:rPr>
                <w:color w:val="000000"/>
                <w:sz w:val="24"/>
                <w:szCs w:val="24"/>
              </w:rPr>
              <w:t>1,857</w:t>
            </w:r>
          </w:p>
        </w:tc>
      </w:tr>
      <w:tr w:rsidR="00C007FB" w:rsidRPr="00B42446" w:rsidTr="009D070F">
        <w:tc>
          <w:tcPr>
            <w:tcW w:w="704" w:type="dxa"/>
            <w:vAlign w:val="center"/>
          </w:tcPr>
          <w:p w:rsidR="00C007FB" w:rsidRPr="0040117F" w:rsidRDefault="00C007FB" w:rsidP="00C007FB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FB" w:rsidRPr="0040117F" w:rsidRDefault="00C007FB" w:rsidP="00C007FB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Сброс снега с крыш  до 20 см (зима)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FB" w:rsidRPr="0040117F" w:rsidRDefault="00C007FB" w:rsidP="00C007FB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</w:t>
            </w:r>
            <w:r w:rsidRPr="0040117F">
              <w:rPr>
                <w:sz w:val="28"/>
              </w:rPr>
              <w:t xml:space="preserve"> </w:t>
            </w:r>
            <w:r w:rsidRPr="0040117F">
              <w:rPr>
                <w:color w:val="000000"/>
                <w:sz w:val="24"/>
                <w:szCs w:val="24"/>
              </w:rPr>
              <w:t>раз за сезон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7FB" w:rsidRPr="00C007FB" w:rsidRDefault="00C007FB" w:rsidP="00C007FB">
            <w:pPr>
              <w:jc w:val="center"/>
              <w:rPr>
                <w:color w:val="000000"/>
                <w:sz w:val="24"/>
                <w:szCs w:val="24"/>
              </w:rPr>
            </w:pPr>
            <w:r w:rsidRPr="00C007FB">
              <w:rPr>
                <w:color w:val="000000"/>
                <w:sz w:val="24"/>
                <w:szCs w:val="24"/>
              </w:rPr>
              <w:t>0,681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Ремонт деревянных перекрытий деревянных домов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C007FB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007FB"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17F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CD72A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D72A9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Ремонт прямой части гладкого профиля поручня на лестничной клетке (поручень из дерева)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CD72A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CD72A9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12129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21299">
              <w:rPr>
                <w:color w:val="000000"/>
                <w:sz w:val="24"/>
                <w:szCs w:val="24"/>
              </w:rPr>
              <w:t>0,393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12129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21299">
              <w:rPr>
                <w:color w:val="000000"/>
                <w:sz w:val="24"/>
                <w:szCs w:val="24"/>
              </w:rPr>
              <w:t>0,374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Работы, выполняемые для надлежащего содержания систем водоснабжения (холодного и горячего), водоотведения в многоквартирных домах 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Временная заделка свищей и трещин на внутренних трубопроводах и стояках </w:t>
            </w:r>
            <w:r w:rsidRPr="0040117F">
              <w:rPr>
                <w:color w:val="000000"/>
                <w:sz w:val="24"/>
                <w:szCs w:val="24"/>
              </w:rPr>
              <w:lastRenderedPageBreak/>
              <w:t>при диаметре трубопровода до 100 мм (холодное водоснабжение)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lastRenderedPageBreak/>
              <w:t>0,0375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12129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121299">
              <w:rPr>
                <w:color w:val="000000"/>
                <w:sz w:val="24"/>
                <w:szCs w:val="24"/>
              </w:rPr>
              <w:t>0,113</w:t>
            </w:r>
          </w:p>
        </w:tc>
      </w:tr>
      <w:tr w:rsidR="00F70886" w:rsidRPr="00B42446" w:rsidTr="00DD35F2">
        <w:tc>
          <w:tcPr>
            <w:tcW w:w="704" w:type="dxa"/>
            <w:vAlign w:val="center"/>
          </w:tcPr>
          <w:p w:rsidR="00F70886" w:rsidRPr="0040117F" w:rsidRDefault="00F70886" w:rsidP="00F70886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886" w:rsidRPr="0040117F" w:rsidRDefault="00F70886" w:rsidP="00F70886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Смена запорной арматуры,  диаметр до 50 мм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886" w:rsidRPr="0040117F" w:rsidRDefault="00F70886" w:rsidP="00F70886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886" w:rsidRPr="00F70886" w:rsidRDefault="00F70886" w:rsidP="00F70886">
            <w:pPr>
              <w:jc w:val="center"/>
              <w:rPr>
                <w:color w:val="000000"/>
                <w:sz w:val="24"/>
                <w:szCs w:val="24"/>
              </w:rPr>
            </w:pPr>
            <w:r w:rsidRPr="00F70886">
              <w:rPr>
                <w:color w:val="000000"/>
                <w:sz w:val="24"/>
                <w:szCs w:val="24"/>
              </w:rPr>
              <w:t>0,295</w:t>
            </w:r>
          </w:p>
        </w:tc>
      </w:tr>
      <w:tr w:rsidR="00F70886" w:rsidRPr="00B42446" w:rsidTr="00934069">
        <w:tc>
          <w:tcPr>
            <w:tcW w:w="704" w:type="dxa"/>
            <w:vAlign w:val="center"/>
          </w:tcPr>
          <w:p w:rsidR="00F70886" w:rsidRPr="0040117F" w:rsidRDefault="00F70886" w:rsidP="00F70886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886" w:rsidRPr="0040117F" w:rsidRDefault="00F70886" w:rsidP="00F70886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Осмотр водопровода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886" w:rsidRPr="0040117F" w:rsidRDefault="00F70886" w:rsidP="00F70886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886" w:rsidRPr="00F70886" w:rsidRDefault="00F70886" w:rsidP="00F70886">
            <w:pPr>
              <w:jc w:val="center"/>
              <w:rPr>
                <w:color w:val="000000"/>
                <w:sz w:val="24"/>
                <w:szCs w:val="24"/>
              </w:rPr>
            </w:pPr>
            <w:r w:rsidRPr="00F70886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8312F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312F1">
              <w:rPr>
                <w:color w:val="000000"/>
                <w:sz w:val="24"/>
                <w:szCs w:val="24"/>
              </w:rPr>
              <w:t>0,184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F02F0F" w:rsidRPr="00B42446" w:rsidTr="00DD35F2">
        <w:tc>
          <w:tcPr>
            <w:tcW w:w="704" w:type="dxa"/>
            <w:vAlign w:val="center"/>
          </w:tcPr>
          <w:p w:rsidR="00F02F0F" w:rsidRPr="0040117F" w:rsidRDefault="00F02F0F" w:rsidP="00F02F0F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F02F0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F02F0F">
              <w:rPr>
                <w:color w:val="000000"/>
                <w:sz w:val="24"/>
                <w:szCs w:val="24"/>
              </w:rPr>
              <w:t>0,436</w:t>
            </w:r>
          </w:p>
        </w:tc>
      </w:tr>
      <w:tr w:rsidR="00F02F0F" w:rsidRPr="00B42446" w:rsidTr="004F57FB">
        <w:tc>
          <w:tcPr>
            <w:tcW w:w="704" w:type="dxa"/>
            <w:vAlign w:val="center"/>
          </w:tcPr>
          <w:p w:rsidR="00F02F0F" w:rsidRPr="0040117F" w:rsidRDefault="00F02F0F" w:rsidP="00F02F0F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F02F0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F02F0F">
              <w:rPr>
                <w:color w:val="000000"/>
                <w:sz w:val="24"/>
                <w:szCs w:val="24"/>
              </w:rPr>
              <w:t>0,324</w:t>
            </w:r>
          </w:p>
        </w:tc>
      </w:tr>
      <w:tr w:rsidR="00F02F0F" w:rsidRPr="00B42446" w:rsidTr="00DD35F2">
        <w:tc>
          <w:tcPr>
            <w:tcW w:w="704" w:type="dxa"/>
            <w:vAlign w:val="center"/>
          </w:tcPr>
          <w:p w:rsidR="00F02F0F" w:rsidRPr="0040117F" w:rsidRDefault="00F02F0F" w:rsidP="00F02F0F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F02F0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F02F0F">
              <w:rPr>
                <w:color w:val="000000"/>
                <w:sz w:val="24"/>
                <w:szCs w:val="24"/>
              </w:rPr>
              <w:t>1,404</w:t>
            </w:r>
          </w:p>
        </w:tc>
      </w:tr>
      <w:tr w:rsidR="00F02F0F" w:rsidRPr="00B42446" w:rsidTr="00D9529F">
        <w:tc>
          <w:tcPr>
            <w:tcW w:w="704" w:type="dxa"/>
            <w:vAlign w:val="center"/>
          </w:tcPr>
          <w:p w:rsidR="00F02F0F" w:rsidRPr="0040117F" w:rsidRDefault="00F02F0F" w:rsidP="00F02F0F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F02F0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F02F0F">
              <w:rPr>
                <w:color w:val="000000"/>
                <w:sz w:val="24"/>
                <w:szCs w:val="24"/>
              </w:rPr>
              <w:t>0,458</w:t>
            </w:r>
          </w:p>
        </w:tc>
      </w:tr>
      <w:tr w:rsidR="00F02F0F" w:rsidRPr="00B42446" w:rsidTr="00D9529F">
        <w:tc>
          <w:tcPr>
            <w:tcW w:w="704" w:type="dxa"/>
            <w:vAlign w:val="center"/>
          </w:tcPr>
          <w:p w:rsidR="00F02F0F" w:rsidRPr="0040117F" w:rsidRDefault="00F02F0F" w:rsidP="00F02F0F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40117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F0F" w:rsidRPr="00F02F0F" w:rsidRDefault="00F02F0F" w:rsidP="00F02F0F">
            <w:pPr>
              <w:jc w:val="center"/>
              <w:rPr>
                <w:color w:val="000000"/>
                <w:sz w:val="24"/>
                <w:szCs w:val="24"/>
              </w:rPr>
            </w:pPr>
            <w:r w:rsidRPr="00F02F0F">
              <w:rPr>
                <w:color w:val="000000"/>
                <w:sz w:val="24"/>
                <w:szCs w:val="24"/>
              </w:rPr>
              <w:t>0,150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EE18D1" w:rsidRPr="00B42446" w:rsidTr="00DD35F2">
        <w:tc>
          <w:tcPr>
            <w:tcW w:w="704" w:type="dxa"/>
            <w:vAlign w:val="center"/>
          </w:tcPr>
          <w:p w:rsidR="00EE18D1" w:rsidRPr="0040117F" w:rsidRDefault="00EE18D1" w:rsidP="00EE18D1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</w:t>
            </w:r>
            <w:r>
              <w:rPr>
                <w:color w:val="000000"/>
                <w:sz w:val="24"/>
                <w:szCs w:val="24"/>
              </w:rPr>
              <w:t>ей электротехнических устройств</w:t>
            </w:r>
            <w:r w:rsidRPr="0040117F">
              <w:rPr>
                <w:color w:val="000000"/>
                <w:sz w:val="24"/>
                <w:szCs w:val="24"/>
              </w:rPr>
              <w:t xml:space="preserve"> в домах с закрытой проводкой: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EE18D1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EE18D1">
              <w:rPr>
                <w:color w:val="000000"/>
                <w:sz w:val="24"/>
                <w:szCs w:val="24"/>
              </w:rPr>
              <w:t>1,041</w:t>
            </w:r>
          </w:p>
        </w:tc>
      </w:tr>
      <w:tr w:rsidR="00EE18D1" w:rsidRPr="00B42446" w:rsidTr="00E812A9">
        <w:tc>
          <w:tcPr>
            <w:tcW w:w="704" w:type="dxa"/>
            <w:vAlign w:val="center"/>
          </w:tcPr>
          <w:p w:rsidR="00EE18D1" w:rsidRPr="0040117F" w:rsidRDefault="00EE18D1" w:rsidP="00EE18D1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Смена отдельных участков внутренней электропроводки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EE18D1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EE18D1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EE18D1" w:rsidRPr="00B42446" w:rsidTr="00E812A9">
        <w:tc>
          <w:tcPr>
            <w:tcW w:w="704" w:type="dxa"/>
            <w:vAlign w:val="center"/>
          </w:tcPr>
          <w:p w:rsidR="00EE18D1" w:rsidRPr="0040117F" w:rsidRDefault="00EE18D1" w:rsidP="00EE18D1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EE18D1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EE18D1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EE18D1" w:rsidRPr="00B42446" w:rsidTr="00E812A9">
        <w:tc>
          <w:tcPr>
            <w:tcW w:w="704" w:type="dxa"/>
            <w:vAlign w:val="center"/>
          </w:tcPr>
          <w:p w:rsidR="00EE18D1" w:rsidRPr="0040117F" w:rsidRDefault="00EE18D1" w:rsidP="00EE18D1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</w:t>
            </w:r>
            <w:r w:rsidRPr="0040117F">
              <w:rPr>
                <w:color w:val="000000"/>
                <w:sz w:val="24"/>
                <w:szCs w:val="24"/>
              </w:rPr>
              <w:t xml:space="preserve"> выключателя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40117F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8D1" w:rsidRPr="00EE18D1" w:rsidRDefault="00EE18D1" w:rsidP="00EE18D1">
            <w:pPr>
              <w:jc w:val="center"/>
              <w:rPr>
                <w:color w:val="000000"/>
                <w:sz w:val="24"/>
                <w:szCs w:val="24"/>
              </w:rPr>
            </w:pPr>
            <w:r w:rsidRPr="00EE18D1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40117F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BE271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E2719">
              <w:rPr>
                <w:color w:val="000000"/>
                <w:sz w:val="24"/>
                <w:szCs w:val="24"/>
              </w:rPr>
              <w:t>0,078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По мере необходимости в соответствии с СанПиН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BE271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E2719">
              <w:rPr>
                <w:color w:val="000000"/>
                <w:sz w:val="24"/>
                <w:szCs w:val="24"/>
              </w:rPr>
              <w:t>0,258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Очистка подвалов и чердаков от мусора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BE2719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E2719">
              <w:rPr>
                <w:color w:val="000000"/>
                <w:sz w:val="24"/>
                <w:szCs w:val="24"/>
              </w:rPr>
              <w:t>0,023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Ручное подметание территорий без покрытий (зима)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3518E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r w:rsidRPr="0040117F">
              <w:rPr>
                <w:color w:val="000000"/>
                <w:sz w:val="24"/>
                <w:szCs w:val="24"/>
              </w:rPr>
              <w:t>Работы по обеспечению вывоза, в том числе откачке, жидких бытовых отходов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Вывоз и утилизация жидких бытовых отходов (МКД с ХВС)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3518E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3518E">
              <w:rPr>
                <w:color w:val="000000"/>
                <w:sz w:val="24"/>
                <w:szCs w:val="24"/>
              </w:rPr>
              <w:t>23,020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571C61" w:rsidRPr="00B42446" w:rsidTr="00DD35F2">
        <w:tc>
          <w:tcPr>
            <w:tcW w:w="704" w:type="dxa"/>
            <w:vAlign w:val="center"/>
          </w:tcPr>
          <w:p w:rsidR="00571C61" w:rsidRPr="0040117F" w:rsidRDefault="00571C61" w:rsidP="00DD35F2">
            <w:pPr>
              <w:jc w:val="center"/>
              <w:rPr>
                <w:sz w:val="24"/>
                <w:szCs w:val="24"/>
              </w:rPr>
            </w:pPr>
            <w:r w:rsidRPr="004011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ind w:firstLine="567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3518E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3518E">
              <w:rPr>
                <w:color w:val="000000"/>
                <w:sz w:val="24"/>
                <w:szCs w:val="24"/>
              </w:rPr>
              <w:t>2,474</w:t>
            </w:r>
          </w:p>
        </w:tc>
      </w:tr>
      <w:tr w:rsidR="00571C61" w:rsidRPr="00B42446" w:rsidTr="00DD35F2">
        <w:tc>
          <w:tcPr>
            <w:tcW w:w="9345" w:type="dxa"/>
            <w:gridSpan w:val="7"/>
            <w:tcBorders>
              <w:right w:val="single" w:sz="4" w:space="0" w:color="auto"/>
            </w:tcBorders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571C61" w:rsidRPr="00B42446" w:rsidTr="00DD35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61" w:rsidRPr="0040117F" w:rsidRDefault="00571C61" w:rsidP="00DD35F2">
            <w:pPr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В соответствии с постановлением Пр</w:t>
            </w:r>
            <w:r>
              <w:rPr>
                <w:color w:val="000000"/>
                <w:sz w:val="24"/>
                <w:szCs w:val="24"/>
              </w:rPr>
              <w:t>авительства РФ от 15.05.2013 г. № </w:t>
            </w:r>
            <w:r w:rsidRPr="0040117F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3518E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3518E">
              <w:rPr>
                <w:color w:val="000000"/>
                <w:sz w:val="24"/>
                <w:szCs w:val="24"/>
              </w:rPr>
              <w:t>20,366</w:t>
            </w:r>
          </w:p>
        </w:tc>
      </w:tr>
      <w:tr w:rsidR="00571C61" w:rsidRPr="00B42446" w:rsidTr="00DD35F2">
        <w:tc>
          <w:tcPr>
            <w:tcW w:w="7225" w:type="dxa"/>
            <w:gridSpan w:val="6"/>
            <w:tcBorders>
              <w:right w:val="single" w:sz="4" w:space="0" w:color="auto"/>
            </w:tcBorders>
          </w:tcPr>
          <w:p w:rsidR="00571C61" w:rsidRPr="0040117F" w:rsidRDefault="00571C61" w:rsidP="00DD35F2">
            <w:pPr>
              <w:ind w:firstLine="567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C61" w:rsidRPr="0040117F" w:rsidRDefault="00571C61" w:rsidP="00DD35F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0117F">
              <w:rPr>
                <w:color w:val="000000"/>
                <w:sz w:val="24"/>
                <w:szCs w:val="24"/>
              </w:rPr>
              <w:t>43,11</w:t>
            </w:r>
          </w:p>
        </w:tc>
      </w:tr>
    </w:tbl>
    <w:p w:rsidR="00571C61" w:rsidRPr="00B06B91" w:rsidRDefault="00571C61" w:rsidP="00571C61">
      <w:pPr>
        <w:jc w:val="right"/>
        <w:rPr>
          <w:sz w:val="28"/>
          <w:szCs w:val="28"/>
        </w:rPr>
      </w:pPr>
      <w:bookmarkStart w:id="0" w:name="_GoBack"/>
      <w:bookmarkEnd w:id="0"/>
    </w:p>
    <w:p w:rsidR="00571C61" w:rsidRDefault="00571C61" w:rsidP="00571C61">
      <w:pPr>
        <w:jc w:val="both"/>
        <w:rPr>
          <w:sz w:val="28"/>
          <w:szCs w:val="28"/>
        </w:rPr>
      </w:pPr>
    </w:p>
    <w:p w:rsidR="00995BC2" w:rsidRDefault="00090DA7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ED"/>
    <w:rsid w:val="00090DA7"/>
    <w:rsid w:val="00121299"/>
    <w:rsid w:val="001C2B4D"/>
    <w:rsid w:val="002160D8"/>
    <w:rsid w:val="002C2C1D"/>
    <w:rsid w:val="0045378A"/>
    <w:rsid w:val="0053518E"/>
    <w:rsid w:val="00571C61"/>
    <w:rsid w:val="006B6A66"/>
    <w:rsid w:val="008312F1"/>
    <w:rsid w:val="00BE2719"/>
    <w:rsid w:val="00C007FB"/>
    <w:rsid w:val="00CD72A9"/>
    <w:rsid w:val="00D269ED"/>
    <w:rsid w:val="00EE18D1"/>
    <w:rsid w:val="00F02F0F"/>
    <w:rsid w:val="00F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F67C"/>
  <w15:chartTrackingRefBased/>
  <w15:docId w15:val="{27E8A889-8E40-4A7B-B69C-679F37E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2022-10-18T13:07:00Z</cp:lastPrinted>
  <dcterms:created xsi:type="dcterms:W3CDTF">2022-10-18T13:04:00Z</dcterms:created>
  <dcterms:modified xsi:type="dcterms:W3CDTF">2022-10-26T08:22:00Z</dcterms:modified>
</cp:coreProperties>
</file>